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highlight w:val="yellow"/>
          <w:lang w:val="en-US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党员活动室升级改造项目内容和技术要求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项目背景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加强党组织建设，提升党员活动阵地的规范化、标准化水平，充分发挥党员活动室的教育、学习、交流功能，根据年度党建工作安排，现对检修楼三楼党员活动室进行改造升级。原党员活动室因建成时间较长，存在设施设备陈旧、功能单一等问题，需通过改造为党员营造一个功能齐全、环境优良的活动场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改造内容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党员活动室室内面积约132.76平方米（长15.26米，宽8.7米，其中长、宽各有一面墙为玻璃窗户，该玻璃窗户部分维持原貌不作改造，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"/>
        </w:rPr>
        <w:t>其余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墙面和玻璃之间的柱子可根据装修整体风格进行装饰），为保证改造方案合理性，报价人可自行了解现场（联系方式：0830-3628032；13982740043）。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1.改造单位要求：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须为法人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eastAsia="zh-CN"/>
        </w:rPr>
        <w:t>需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提供有效的营业执照；在近三年内，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具有1个类似党员活动室或党建相关项目的施工业绩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需提供合同或技术协议的封面、业绩相对方联系方式页面、签字页及相关内容证明文件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空间布局优化：</w:t>
      </w:r>
      <w:r>
        <w:rPr>
          <w:rFonts w:hint="eastAsia" w:ascii="仿宋_GB2312" w:hAnsi="仿宋_GB2312" w:eastAsia="仿宋_GB2312" w:cs="仿宋_GB2312"/>
          <w:sz w:val="32"/>
          <w:szCs w:val="32"/>
        </w:rPr>
        <w:t>对党员活动室的整体空间进行重新规划，合理划分学习区、展示区、会议区等功能区域，提高空间利用率。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装修装饰：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采用符合党建主题的装修风格，营造庄重、严肃且富有教育意义的氛围。对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墙面标语及宣传画进行更换</w:t>
      </w:r>
      <w:r>
        <w:rPr>
          <w:rFonts w:hint="eastAsia" w:ascii="仿宋_GB2312" w:hAnsi="仿宋_GB2312" w:eastAsia="仿宋_GB2312" w:cs="仿宋_GB2312"/>
          <w:sz w:val="32"/>
          <w:szCs w:val="32"/>
        </w:rPr>
        <w:t>，可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制作</w:t>
      </w:r>
      <w:r>
        <w:rPr>
          <w:rFonts w:hint="eastAsia" w:ascii="仿宋_GB2312" w:hAnsi="仿宋_GB2312" w:eastAsia="仿宋_GB2312" w:cs="仿宋_GB2312"/>
          <w:sz w:val="32"/>
          <w:szCs w:val="32"/>
        </w:rPr>
        <w:t>党建文化墙，展示党的历史、宗旨、方针政策等内容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安装合适的照明灯具。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设施设备更新：</w:t>
      </w:r>
      <w:r>
        <w:rPr>
          <w:rFonts w:hint="eastAsia" w:ascii="仿宋_GB2312" w:hAnsi="仿宋_GB2312" w:eastAsia="仿宋_GB2312" w:cs="仿宋_GB2312"/>
          <w:sz w:val="32"/>
          <w:szCs w:val="32"/>
        </w:rPr>
        <w:t>配备多媒体教学设备，如电子显示屏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或电视显示屏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等，满足党员学习培训、会议开展等需求；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添</w:t>
      </w:r>
      <w:r>
        <w:rPr>
          <w:rFonts w:hint="eastAsia" w:ascii="仿宋_GB2312" w:hAnsi="仿宋_GB2312" w:eastAsia="仿宋_GB2312" w:cs="仿宋_GB2312"/>
          <w:sz w:val="32"/>
          <w:szCs w:val="32"/>
        </w:rPr>
        <w:t>置桌椅、文件柜等办公家具，为党员提供舒适的学习和工作环境。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党建文化氛围营造：</w:t>
      </w:r>
      <w:r>
        <w:rPr>
          <w:rFonts w:hint="eastAsia" w:ascii="仿宋_GB2312" w:hAnsi="仿宋_GB2312" w:eastAsia="仿宋_GB2312" w:cs="仿宋_GB2312"/>
          <w:sz w:val="32"/>
          <w:szCs w:val="32"/>
        </w:rPr>
        <w:t>设置党建文化展示墙、荣誉墙，展示党组织的发展历程、党建工作成果、优秀党员事迹等内容；悬挂党旗、入党誓词、党的纪律等标识牌，增强党员的归属感和使命感。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6.改造工期：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自合同签订之日起90日内完成本项目所有改造工作。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7.质保要求：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质保时间为</w:t>
      </w:r>
      <w:r>
        <w:rPr>
          <w:rFonts w:hint="eastAsia" w:ascii="仿宋_GB2312" w:hAnsi="仿宋_GB2312" w:eastAsia="仿宋_GB2312" w:cs="仿宋_GB2312"/>
          <w:sz w:val="32"/>
          <w:szCs w:val="32"/>
        </w:rPr>
        <w:t>自本项目经甲方验收合格之日起算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个月，在质保期内出现非甲方人为原因导致装修脱落、设备故障及损坏，由乙方免费负责维修、更换。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三、项目技术评分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8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项目遴选</w:t>
      </w:r>
      <w:r>
        <w:rPr>
          <w:rFonts w:hint="eastAsia" w:ascii="仿宋_GB2312" w:hAnsi="仿宋_GB2312" w:eastAsia="仿宋_GB2312" w:cs="仿宋_GB2312"/>
          <w:sz w:val="32"/>
          <w:szCs w:val="32"/>
        </w:rPr>
        <w:t>采用综合评估法进行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评选</w:t>
      </w:r>
      <w:r>
        <w:rPr>
          <w:rFonts w:hint="eastAsia" w:ascii="仿宋_GB2312" w:hAnsi="仿宋_GB2312" w:eastAsia="仿宋_GB2312" w:cs="仿宋_GB2312"/>
          <w:sz w:val="32"/>
          <w:szCs w:val="32"/>
        </w:rPr>
        <w:t>，满分100 分，其中商务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</w:rPr>
        <w:t>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，技术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</w:rPr>
        <w:t>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技术分评分标准详见附件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tabs>
          <w:tab w:val="left" w:pos="0"/>
        </w:tabs>
        <w:adjustRightInd/>
        <w:spacing w:before="0" w:after="0" w:line="240" w:lineRule="auto"/>
        <w:ind w:firstLine="301" w:firstLineChars="100"/>
        <w:jc w:val="center"/>
        <w:textAlignment w:val="auto"/>
        <w:rPr>
          <w:rFonts w:hint="eastAsia" w:ascii="Times" w:hAnsi="Times"/>
          <w:b/>
          <w:bCs/>
          <w:kern w:val="2"/>
          <w:sz w:val="30"/>
          <w:szCs w:val="24"/>
        </w:rPr>
      </w:pPr>
      <w:r>
        <w:rPr>
          <w:rFonts w:hint="eastAsia" w:ascii="Times" w:hAnsi="Times" w:eastAsia="宋体" w:cs="Times"/>
          <w:b/>
          <w:bCs/>
          <w:sz w:val="30"/>
          <w:szCs w:val="24"/>
        </w:rPr>
        <w:t>四川泸州川南发电有限责任公司</w:t>
      </w:r>
      <w:r>
        <w:rPr>
          <w:rFonts w:hint="eastAsia" w:ascii="Times" w:hAnsi="Times" w:eastAsia="宋体" w:cs="Times"/>
          <w:b/>
          <w:bCs/>
          <w:sz w:val="30"/>
          <w:szCs w:val="24"/>
          <w:lang w:val="en-US" w:eastAsia="zh-CN"/>
        </w:rPr>
        <w:t>党员活动室（检修楼三楼）</w:t>
      </w:r>
      <w:r>
        <w:rPr>
          <w:rFonts w:hint="eastAsia" w:ascii="Times" w:hAnsi="Times" w:eastAsia="宋体" w:cs="Times"/>
          <w:b/>
          <w:bCs/>
          <w:sz w:val="30"/>
          <w:szCs w:val="24"/>
        </w:rPr>
        <w:t>升级改造</w:t>
      </w:r>
      <w:r>
        <w:rPr>
          <w:rFonts w:hint="eastAsia" w:ascii="Times" w:hAnsi="Times" w:eastAsia="宋体"/>
          <w:b/>
          <w:bCs/>
          <w:sz w:val="30"/>
          <w:lang w:val="en-US" w:eastAsia="zh-CN"/>
        </w:rPr>
        <w:t>项目</w:t>
      </w:r>
      <w:r>
        <w:rPr>
          <w:rFonts w:hint="eastAsia" w:ascii="Times" w:hAnsi="Times"/>
          <w:b/>
          <w:bCs/>
          <w:sz w:val="30"/>
        </w:rPr>
        <w:t>评分表</w:t>
      </w:r>
    </w:p>
    <w:tbl>
      <w:tblPr>
        <w:tblStyle w:val="9"/>
        <w:tblW w:w="14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300"/>
        <w:gridCol w:w="1080"/>
        <w:gridCol w:w="1296"/>
        <w:gridCol w:w="1296"/>
        <w:gridCol w:w="1296"/>
        <w:gridCol w:w="1296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6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0" w:firstLineChars="10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评分项目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标准</w:t>
            </w:r>
            <w:r>
              <w:rPr>
                <w:rFonts w:hint="eastAsia"/>
                <w:sz w:val="21"/>
                <w:szCs w:val="21"/>
                <w:lang w:eastAsia="zh-CN"/>
              </w:rPr>
              <w:t>分</w:t>
            </w:r>
            <w:r>
              <w:rPr>
                <w:rFonts w:hint="eastAsia"/>
                <w:sz w:val="21"/>
                <w:szCs w:val="21"/>
              </w:rPr>
              <w:t>数</w:t>
            </w:r>
          </w:p>
        </w:tc>
        <w:tc>
          <w:tcPr>
            <w:tcW w:w="6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实际得分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6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" w:hAnsi="Times"/>
                <w:bCs w:val="0"/>
                <w:sz w:val="21"/>
                <w:szCs w:val="21"/>
              </w:rPr>
            </w:pPr>
            <w:r>
              <w:rPr>
                <w:rFonts w:hint="eastAsia" w:ascii="Times" w:hAnsi="Times"/>
                <w:bCs w:val="0"/>
                <w:sz w:val="21"/>
                <w:szCs w:val="21"/>
              </w:rPr>
              <w:t>业绩</w:t>
            </w:r>
          </w:p>
          <w:p>
            <w:pPr>
              <w:spacing w:line="240" w:lineRule="auto"/>
              <w:jc w:val="left"/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eastAsia="zh-CN"/>
              </w:rPr>
              <w:t>报价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</w:rPr>
              <w:t>人在近三年内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val="en-US" w:eastAsia="zh-CN"/>
              </w:rPr>
              <w:t>(2022年至今）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</w:rPr>
              <w:t>，具有1个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eastAsia="zh-CN"/>
              </w:rPr>
              <w:t>与本项目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</w:rPr>
              <w:t>类似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eastAsia="zh-CN"/>
              </w:rPr>
              <w:t>的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</w:rPr>
              <w:t>党员活动室或党建相关项目业绩，且工程质量合格，得基本分10分；</w:t>
            </w:r>
          </w:p>
          <w:p>
            <w:pPr>
              <w:spacing w:line="240" w:lineRule="auto"/>
              <w:jc w:val="left"/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eastAsia="zh-CN"/>
              </w:rPr>
              <w:t>②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</w:rPr>
              <w:t>每增加一个1个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eastAsia="zh-CN"/>
              </w:rPr>
              <w:t>与本项目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</w:rPr>
              <w:t>类似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eastAsia="zh-CN"/>
              </w:rPr>
              <w:t>的</w:t>
            </w: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</w:rPr>
              <w:t>党员活动室或党建相关项目业绩加1分；</w:t>
            </w:r>
          </w:p>
          <w:p>
            <w:pPr>
              <w:spacing w:line="240" w:lineRule="auto"/>
              <w:jc w:val="left"/>
              <w:rPr>
                <w:rFonts w:hint="eastAsia" w:ascii="Times" w:hAnsi="Times"/>
                <w:sz w:val="21"/>
                <w:szCs w:val="21"/>
              </w:rPr>
            </w:pPr>
            <w:r>
              <w:rPr>
                <w:rFonts w:hint="eastAsia" w:eastAsia="宋体" w:asciiTheme="minorHAnsi" w:hAnsiTheme="minorHAnsi" w:cstheme="minorBidi"/>
                <w:color w:val="auto"/>
                <w:sz w:val="21"/>
                <w:szCs w:val="21"/>
                <w:lang w:val="en-US" w:eastAsia="zh-CN"/>
              </w:rPr>
              <w:t>①+②不超20分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" w:hAnsi="Times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" w:hAnsi="Times"/>
                <w:bCs w:val="0"/>
                <w:sz w:val="21"/>
                <w:szCs w:val="21"/>
              </w:rPr>
            </w:pPr>
            <w:r>
              <w:rPr>
                <w:rFonts w:hint="eastAsia"/>
                <w:bCs w:val="0"/>
                <w:sz w:val="21"/>
                <w:szCs w:val="21"/>
                <w:lang w:eastAsia="zh-CN"/>
              </w:rPr>
              <w:t>报价文件</w:t>
            </w:r>
            <w:r>
              <w:rPr>
                <w:rFonts w:hint="eastAsia" w:ascii="Times" w:hAnsi="Times"/>
                <w:bCs w:val="0"/>
                <w:sz w:val="21"/>
                <w:szCs w:val="21"/>
              </w:rPr>
              <w:t>响应性</w:t>
            </w:r>
            <w:r>
              <w:rPr>
                <w:rFonts w:hint="eastAsia"/>
                <w:sz w:val="21"/>
                <w:szCs w:val="21"/>
              </w:rPr>
              <w:t>及规范完整性</w:t>
            </w:r>
          </w:p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好  6-10分</w:t>
            </w:r>
          </w:p>
          <w:p>
            <w:pPr>
              <w:spacing w:line="240" w:lineRule="auto"/>
              <w:jc w:val="both"/>
              <w:rPr>
                <w:rFonts w:ascii="Times" w:hAnsi="Times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一般 1-5分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" w:hAnsi="Times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Times" w:hAnsi="Times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eastAsia="宋体"/>
                <w:sz w:val="21"/>
                <w:szCs w:val="21"/>
                <w:lang w:eastAsia="zh"/>
              </w:rPr>
            </w:pPr>
            <w:r>
              <w:rPr>
                <w:rFonts w:hint="eastAsia" w:eastAsia="宋体"/>
                <w:sz w:val="21"/>
                <w:szCs w:val="21"/>
                <w:lang w:eastAsia="zh"/>
              </w:rPr>
              <w:t>改造方案</w:t>
            </w:r>
          </w:p>
          <w:p>
            <w:pPr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eastAsia="zh-CN"/>
              </w:rPr>
              <w:t>根据改造方案合理、内容具体可行，覆盖全面、针对性强，进度及工期保障措施完善、紧贴实际，满足项目要求，横向比较评分，优得28-40；良得14-27分；差得1-13分。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" w:hAnsi="Times" w:eastAsia="宋体" w:cs="Times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" w:hAnsi="Times" w:eastAsia="宋体" w:cs="Times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质量保证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及售后服务</w:t>
            </w:r>
          </w:p>
          <w:p>
            <w:pPr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default"/>
                <w:sz w:val="21"/>
                <w:szCs w:val="21"/>
                <w:lang w:val="en-US"/>
              </w:rPr>
              <w:t>根据质量评估、售后内容完整且具有可操作性、可监控性、可追溯性进行评分，横向比较评分，优得15-20分；良得6-10分；差得1-5分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" w:hAnsi="Times"/>
                <w:bCs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安全文明施工</w:t>
            </w:r>
          </w:p>
          <w:p>
            <w:pPr>
              <w:pStyle w:val="8"/>
              <w:jc w:val="both"/>
              <w:rPr>
                <w:rFonts w:hint="eastAsia"/>
              </w:rPr>
            </w:pPr>
            <w:r>
              <w:rPr>
                <w:rFonts w:hint="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根据施工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措施</w:t>
            </w:r>
            <w:r>
              <w:rPr>
                <w:rFonts w:hint="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安全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，安全活动内容完整性、可操作性、可监控性进行评分，优得</w:t>
            </w:r>
            <w:r>
              <w:rPr>
                <w:rFonts w:hint="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8-10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分；良得</w:t>
            </w:r>
            <w:r>
              <w:rPr>
                <w:rFonts w:hint="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  <w:r>
              <w:rPr>
                <w:rFonts w:hint="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8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分；差得1-</w:t>
            </w:r>
            <w:r>
              <w:rPr>
                <w:rFonts w:hint="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3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分。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合</w:t>
            </w:r>
            <w:r>
              <w:rPr>
                <w:b w:val="0"/>
                <w:bCs w:val="0"/>
                <w:sz w:val="21"/>
                <w:szCs w:val="21"/>
              </w:rPr>
              <w:t xml:space="preserve">    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b w:val="0"/>
                <w:bCs w:val="0"/>
                <w:sz w:val="21"/>
                <w:szCs w:val="21"/>
              </w:rPr>
              <w:t>100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sectPr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E3887"/>
    <w:rsid w:val="12FE3887"/>
    <w:rsid w:val="13C03EDD"/>
    <w:rsid w:val="18B11BAE"/>
    <w:rsid w:val="2D7F6B1E"/>
    <w:rsid w:val="320348AD"/>
    <w:rsid w:val="3A213277"/>
    <w:rsid w:val="4145480F"/>
    <w:rsid w:val="4BB6BB47"/>
    <w:rsid w:val="50472586"/>
    <w:rsid w:val="61F50509"/>
    <w:rsid w:val="67603E3F"/>
    <w:rsid w:val="6D7A1100"/>
    <w:rsid w:val="750B1B93"/>
    <w:rsid w:val="7B4D3C62"/>
    <w:rsid w:val="7BF949BA"/>
    <w:rsid w:val="7CAB4A83"/>
    <w:rsid w:val="AFFE9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四级标题"/>
    <w:basedOn w:val="3"/>
    <w:qFormat/>
    <w:uiPriority w:val="0"/>
    <w:pPr>
      <w:spacing w:line="360" w:lineRule="auto"/>
      <w:ind w:left="0" w:leftChars="0"/>
    </w:pPr>
    <w:rPr>
      <w:rFonts w:eastAsia="黑体"/>
      <w:sz w:val="24"/>
      <w:szCs w:val="20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39"/>
    <w:pPr>
      <w:tabs>
        <w:tab w:val="right" w:leader="dot" w:pos="9170"/>
      </w:tabs>
      <w:jc w:val="center"/>
    </w:pPr>
    <w:rPr>
      <w:b/>
      <w:sz w:val="36"/>
      <w:szCs w:val="36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9E0FED4F5B1999E646A52568772A94CC_43</vt:lpwstr>
  </property>
</Properties>
</file>